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22 vom 19. April 1994</w:t>
      </w:r>
    </w:p>
    <w:p>
      <w:r>
        <w:t>Bundesgericht (BGE), 1994-04-19, FR</w:t>
      </w:r>
    </w:p>
    <w:p>
      <w:r>
        <w:rPr>
          <w:b/>
        </w:rPr>
        <w:t xml:space="preserve">Quelle: </w:t>
      </w:r>
      <w:r>
        <w:t>https://mcp.opencaselaw.ch/entscheid/bge_120 IB 22</w:t>
      </w:r>
    </w:p>
    <w:p>
      <w:r>
        <w:t>FR: BGE 120 IB 22 du 19 avril 1994</w:t>
      </w:r>
    </w:p>
    <w:p>
      <w:r>
        <w:t>IT: BGE 120 IB 22 del 19 aprile 1994</w:t>
      </w:r>
    </w:p>
    <w:p>
      <w:pPr>
        <w:pStyle w:val="Heading2"/>
      </w:pPr>
      <w:r>
        <w:t>Regeste</w:t>
      </w:r>
    </w:p>
    <w:p>
      <w:r>
        <w:t>Regeste Art. 8 EMRK; Aufenthaltsbewilligung. Art. 8 Ziff. 2 EMRK lässt in bestimmten Fällen einen Eingriff in die Ausübung des Rechts auf Achtung des Privat- und Familienlebens zu,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Im konkreten Fall überwiegt das private Interesse des Beschwerdeführers nicht; denn er hat sich nicht um eine enge und tatsächliche Beziehung zu seinem Sohn bemüht und zahlt auch seit Monaten keine Kinderalimente mehr (E. 4).</w:t>
      </w:r>
    </w:p>
    <w:p>
      <w:pPr>
        <w:pStyle w:val="Heading2"/>
      </w:pPr>
      <w:r>
        <w:t>Erwägungen</w:t>
      </w:r>
    </w:p>
    <w:p>
      <w:r>
        <w:rPr>
          <w:b/>
        </w:rPr>
        <w:t>E. 4</w:t>
      </w:r>
    </w:p>
    <w:p>
      <w:r>
        <w:t>a)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BGE 120 Ib 22 S. 25 1er de l'ordonnance limitant le nombre des étrangers du 6 octobre 1986 - OLE; RS 823.21). Ces buts sont légitimes au regard de l' art. 8 par. 2 CEDH (arrêts non publiés du 18 janvier 1994 en la cause M. M. contre GR, Conseil d'Etat, consid. 4b, et du 10 novembre 1993 en la cause E. N. contre GE, Conseil d'Etat, consid. 2a ; arrêt de la Cour Européenne des droits de l'homme du 21 juin 1988 en la cause Berrehab, Série A, vol. 138, p. 15, par. 25/26). La question de savoir si, dans un cas particulier, les autorités de police des étrangers sont tenues d'accorder une autorisation de séjour sur la base de l' art. 8 CEDH doit être résolue sur la base d'une pesée de tous les intérêts publics et privés en présence ( ATF 115 Ib 1 consid. 3b et 3c p. 6).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(arrêts non publiés du 18 janvier 1994 précité, consid. 5a, et du 6 mai 1993 en la cause K. T. contre FR, Conseil d'Etat, consid. 2b). b) En l'espèce, il faut d'abord constater que le recourant n'a vécu que quatre mois avec son fils avant la séparation définitive d'avec son ex-épouse. Depuis lors, le droit de visite ne s'est exercé qu'épisodiquement et même plus du tout depuis le 22 août 1993. Or, dès le divorce, le recourant savait qu'il ne pouvait voir son enfant qu'en déposant simultanément son passeport, par quoi il faut entendre un document valable. Même si le renouvellement du passeport pouvait se heurter à certaines difficultés, on ne voit pas que l'intéressé ait été dans l'incapacité d'obtenir ce renouvellement; il n'a du reste allégué aucune démarche précise et concrète à ce sujet. En outre, le recourant a encore versé la pension alimentaire de son fils pour les deux premiers mois de l'année 1993; depuis, il n'a plus contribué matériellement à l'entretien de son enfant, même dans une mesure très réduite conforme à ses moyens financiers limités. Dans ces conditions, le Tribunal administratif était fondé à confirmer le refus du renouvellement de l'autorisation de séjour litigieuse, d'autant plus que le recourant ne réside pas en Suisse depuis BGE 120 Ib 22 S. 26 très longtemps et qu'il ne s'y est pas intégré (WILDHABER, Internationaler Kommentar zur Europäischen Menschenrechtskonvention, n. 434 ad art. 8). Sans travail et à charge des services sociaux, il ne fait valoir aucun lien particulier avec la Suisse qui contredirait cette assertion de l'autorité intimée. Un départ du recourant pour son pays d'origine compliquerait assurément l'exercice du droit de visite, sans toutefois y apporter d'obstacle qui le rendrait pratiquement impossible dans le cadre de séjours à but touristique. Certes, une telle atteinte à un bien juridique protégé par l' art. 8 CEDH est sérieuse. Cependant, l'intérêt privé du recourant ne saurait l'emporter dans la situation mentionnée ci-dessus, à partir du moment où l' art. 8 CEDH est invoqué pour permettre l'exercice d'un droit de visite qui, vu les circonstances, est de toute façon limité et n'exige pas que l'intéressé reste pour cela en Suisse, où il n'a pas été en mesure de s'intégrer, notamment sur le plan professionnel. Le Tribunal administratif n'a donc pas violé le principe de la proportionnalité en rendant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